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0895" w14:textId="77777777" w:rsidR="006F0041" w:rsidRPr="00323A54" w:rsidRDefault="006F0041" w:rsidP="006F0041">
      <w:pPr>
        <w:pStyle w:val="Heading1"/>
        <w:numPr>
          <w:ilvl w:val="0"/>
          <w:numId w:val="1"/>
        </w:numPr>
        <w:rPr>
          <w:lang w:val="en-GB"/>
        </w:rPr>
      </w:pPr>
      <w:r w:rsidRPr="00323A54">
        <w:rPr>
          <w:lang w:val="en-GB"/>
        </w:rPr>
        <w:t>Step overview</w:t>
      </w:r>
    </w:p>
    <w:p w14:paraId="7F7F0FAC" w14:textId="77777777" w:rsidR="006F0041" w:rsidRPr="00323A54" w:rsidRDefault="006F0041" w:rsidP="006F0041">
      <w:pPr>
        <w:rPr>
          <w:lang w:val="en-GB"/>
        </w:rPr>
      </w:pPr>
    </w:p>
    <w:tbl>
      <w:tblPr>
        <w:tblStyle w:val="GridTable1Light"/>
        <w:tblW w:w="8926" w:type="dxa"/>
        <w:tblLook w:val="0400" w:firstRow="0" w:lastRow="0" w:firstColumn="0" w:lastColumn="0" w:noHBand="0" w:noVBand="1"/>
      </w:tblPr>
      <w:tblGrid>
        <w:gridCol w:w="2122"/>
        <w:gridCol w:w="6804"/>
      </w:tblGrid>
      <w:tr w:rsidR="006F0041" w:rsidRPr="00323A54" w14:paraId="4335D827" w14:textId="77777777" w:rsidTr="00314DB3">
        <w:trPr>
          <w:trHeight w:val="399"/>
        </w:trPr>
        <w:tc>
          <w:tcPr>
            <w:tcW w:w="2122" w:type="dxa"/>
            <w:shd w:val="clear" w:color="auto" w:fill="44546A" w:themeFill="text2"/>
          </w:tcPr>
          <w:p w14:paraId="488927A1"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Sub-area</w:t>
            </w:r>
          </w:p>
        </w:tc>
        <w:tc>
          <w:tcPr>
            <w:tcW w:w="6804" w:type="dxa"/>
            <w:shd w:val="clear" w:color="auto" w:fill="EAEDF1" w:themeFill="text2" w:themeFillTint="1A"/>
          </w:tcPr>
          <w:p w14:paraId="50C225ED" w14:textId="77777777" w:rsidR="006F0041" w:rsidRPr="00323A54" w:rsidRDefault="006F0041" w:rsidP="00314DB3">
            <w:pPr>
              <w:spacing w:before="120" w:after="120"/>
              <w:rPr>
                <w:rFonts w:ascii="Aptos" w:eastAsia="Times New Roman" w:hAnsi="Aptos" w:cs="Times New Roman"/>
                <w:b/>
                <w:bCs/>
                <w:color w:val="000000"/>
                <w:kern w:val="0"/>
                <w:sz w:val="20"/>
                <w:szCs w:val="20"/>
                <w:lang w:val="en-GB" w:eastAsia="en-GB"/>
                <w14:ligatures w14:val="none"/>
              </w:rPr>
            </w:pPr>
            <w:r w:rsidRPr="00323A54">
              <w:rPr>
                <w:rFonts w:ascii="Aptos" w:eastAsia="Times New Roman" w:hAnsi="Aptos" w:cs="Times New Roman"/>
                <w:b/>
                <w:bCs/>
                <w:color w:val="000000"/>
                <w:kern w:val="0"/>
                <w:sz w:val="20"/>
                <w:szCs w:val="20"/>
                <w:lang w:val="en-GB" w:eastAsia="en-GB"/>
                <w14:ligatures w14:val="none"/>
              </w:rPr>
              <w:t>9.1. Democracy</w:t>
            </w:r>
          </w:p>
        </w:tc>
      </w:tr>
      <w:tr w:rsidR="006F0041" w:rsidRPr="00323A54" w14:paraId="15604F3B" w14:textId="77777777" w:rsidTr="00314DB3">
        <w:trPr>
          <w:trHeight w:val="393"/>
        </w:trPr>
        <w:tc>
          <w:tcPr>
            <w:tcW w:w="2122" w:type="dxa"/>
            <w:shd w:val="clear" w:color="auto" w:fill="44546A" w:themeFill="text2"/>
          </w:tcPr>
          <w:p w14:paraId="03B22EF5"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Reform</w:t>
            </w:r>
          </w:p>
        </w:tc>
        <w:tc>
          <w:tcPr>
            <w:tcW w:w="6804" w:type="dxa"/>
            <w:shd w:val="clear" w:color="auto" w:fill="EAEDF1" w:themeFill="text2" w:themeFillTint="1A"/>
          </w:tcPr>
          <w:p w14:paraId="65C017DC" w14:textId="77777777" w:rsidR="006F0041" w:rsidRPr="00323A54" w:rsidRDefault="006F0041" w:rsidP="00314DB3">
            <w:pPr>
              <w:spacing w:before="120" w:after="120"/>
              <w:rPr>
                <w:rFonts w:ascii="Aptos" w:eastAsia="Times New Roman" w:hAnsi="Aptos" w:cs="Times New Roman"/>
                <w:b/>
                <w:bCs/>
                <w:color w:val="000000"/>
                <w:kern w:val="0"/>
                <w:sz w:val="20"/>
                <w:szCs w:val="20"/>
                <w:lang w:val="en-GB" w:eastAsia="en-GB"/>
                <w14:ligatures w14:val="none"/>
              </w:rPr>
            </w:pPr>
            <w:r w:rsidRPr="00323A54">
              <w:rPr>
                <w:rFonts w:ascii="Aptos" w:eastAsia="Times New Roman" w:hAnsi="Aptos" w:cs="Times New Roman"/>
                <w:b/>
                <w:bCs/>
                <w:color w:val="000000"/>
                <w:kern w:val="0"/>
                <w:sz w:val="20"/>
                <w:szCs w:val="20"/>
                <w:lang w:val="en-GB" w:eastAsia="en-GB"/>
                <w14:ligatures w14:val="none"/>
              </w:rPr>
              <w:t>9.1.1. Prepare a Roadmap/Plan and address recommendations of OSCE/ODIHR and Council of Europe bodies on the electoral framework</w:t>
            </w:r>
          </w:p>
        </w:tc>
      </w:tr>
      <w:tr w:rsidR="006F0041" w:rsidRPr="00323A54" w14:paraId="59DF90AE" w14:textId="77777777" w:rsidTr="00314DB3">
        <w:trPr>
          <w:trHeight w:val="393"/>
        </w:trPr>
        <w:tc>
          <w:tcPr>
            <w:tcW w:w="2122" w:type="dxa"/>
            <w:shd w:val="clear" w:color="auto" w:fill="44546A" w:themeFill="text2"/>
          </w:tcPr>
          <w:p w14:paraId="2ACC4B06"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Reporting indicator</w:t>
            </w:r>
          </w:p>
        </w:tc>
        <w:tc>
          <w:tcPr>
            <w:tcW w:w="6804" w:type="dxa"/>
            <w:shd w:val="clear" w:color="auto" w:fill="EAEDF1" w:themeFill="text2" w:themeFillTint="1A"/>
          </w:tcPr>
          <w:p w14:paraId="7A66EEAE" w14:textId="7AF13E54" w:rsidR="006F0041" w:rsidRPr="00323A54" w:rsidRDefault="00664947" w:rsidP="00314DB3">
            <w:pPr>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Status of the electoral framework and its implementation</w:t>
            </w:r>
          </w:p>
        </w:tc>
      </w:tr>
      <w:tr w:rsidR="006F0041" w:rsidRPr="00323A54" w14:paraId="17D502FD" w14:textId="77777777" w:rsidTr="00314DB3">
        <w:trPr>
          <w:trHeight w:val="759"/>
        </w:trPr>
        <w:tc>
          <w:tcPr>
            <w:tcW w:w="2122" w:type="dxa"/>
            <w:shd w:val="clear" w:color="auto" w:fill="44546A" w:themeFill="text2"/>
          </w:tcPr>
          <w:p w14:paraId="70BE4CA2"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Reform Step</w:t>
            </w:r>
          </w:p>
        </w:tc>
        <w:tc>
          <w:tcPr>
            <w:tcW w:w="6804" w:type="dxa"/>
          </w:tcPr>
          <w:p w14:paraId="6743E6BF" w14:textId="77777777" w:rsidR="006F0041" w:rsidRPr="00323A54" w:rsidRDefault="006F0041" w:rsidP="006F0041">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Second composite step due by December 2025.</w:t>
            </w:r>
          </w:p>
          <w:p w14:paraId="32F82B6B" w14:textId="77777777" w:rsidR="006F0041" w:rsidRPr="00323A54" w:rsidRDefault="006F0041" w:rsidP="006F0041">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w:t>
            </w:r>
            <w:r w:rsidRPr="00323A54">
              <w:rPr>
                <w:rFonts w:ascii="Aptos" w:eastAsia="Times New Roman" w:hAnsi="Aptos" w:cs="Times New Roman"/>
                <w:color w:val="000000"/>
                <w:kern w:val="0"/>
                <w:sz w:val="20"/>
                <w:szCs w:val="20"/>
                <w:lang w:val="en-GB" w:eastAsia="en-GB"/>
                <w14:ligatures w14:val="none"/>
              </w:rPr>
              <w:tab/>
              <w:t>Relevant legislation to address ODIHR and Council of Europe key recommendations, revised and adopted. Indicative list of laws subject to final approval of the WG include amendments to the following laws: Law on the Election of Members of Parliament, Law on Local Elections, Law on the Constitutional Court, Law on the Prevention of Corruption, and the Law on Financing Political Activities.</w:t>
            </w:r>
          </w:p>
          <w:p w14:paraId="559031D8" w14:textId="75A66F46" w:rsidR="006F0041" w:rsidRPr="00323A54" w:rsidRDefault="006F0041" w:rsidP="006F0041">
            <w:pPr>
              <w:spacing w:before="120" w:after="120"/>
              <w:rPr>
                <w:rFonts w:ascii="Aptos" w:eastAsia="Times New Roman" w:hAnsi="Aptos" w:cs="Times New Roman"/>
                <w:b/>
                <w:bCs/>
                <w:color w:val="000000"/>
                <w:kern w:val="0"/>
                <w:sz w:val="20"/>
                <w:szCs w:val="20"/>
                <w:lang w:val="en-GB" w:eastAsia="en-GB"/>
                <w14:ligatures w14:val="none"/>
              </w:rPr>
            </w:pPr>
            <w:r w:rsidRPr="00323A54">
              <w:rPr>
                <w:rFonts w:ascii="Aptos" w:eastAsia="Times New Roman" w:hAnsi="Aptos" w:cs="Times New Roman"/>
                <w:b/>
                <w:bCs/>
                <w:color w:val="000000"/>
                <w:kern w:val="0"/>
                <w:sz w:val="20"/>
                <w:szCs w:val="20"/>
                <w:lang w:val="en-GB" w:eastAsia="en-GB"/>
                <w14:ligatures w14:val="none"/>
              </w:rPr>
              <w:t>•</w:t>
            </w:r>
            <w:r w:rsidRPr="00323A54">
              <w:rPr>
                <w:rFonts w:ascii="Aptos" w:eastAsia="Times New Roman" w:hAnsi="Aptos" w:cs="Times New Roman"/>
                <w:b/>
                <w:bCs/>
                <w:color w:val="000000"/>
                <w:kern w:val="0"/>
                <w:sz w:val="20"/>
                <w:szCs w:val="20"/>
                <w:lang w:val="en-GB" w:eastAsia="en-GB"/>
                <w14:ligatures w14:val="none"/>
              </w:rPr>
              <w:tab/>
              <w:t>Improved capacities of Republic Electoral Commission and granting it its own secretariat. Achieving this step would mean Secretariat established by the decision of the National Assembly of the Republic of Serbia.</w:t>
            </w:r>
          </w:p>
        </w:tc>
      </w:tr>
      <w:tr w:rsidR="006F0041" w:rsidRPr="00323A54" w14:paraId="675B57DB" w14:textId="77777777" w:rsidTr="00314DB3">
        <w:trPr>
          <w:trHeight w:val="559"/>
        </w:trPr>
        <w:tc>
          <w:tcPr>
            <w:tcW w:w="2122" w:type="dxa"/>
            <w:shd w:val="clear" w:color="auto" w:fill="44546A" w:themeFill="text2"/>
          </w:tcPr>
          <w:p w14:paraId="61E05D61" w14:textId="77777777" w:rsidR="006F0041" w:rsidRPr="008B6BE9" w:rsidRDefault="006F0041" w:rsidP="00314DB3">
            <w:pPr>
              <w:spacing w:before="120" w:after="120"/>
              <w:rPr>
                <w:rFonts w:ascii="Aptos" w:eastAsia="Times New Roman" w:hAnsi="Aptos" w:cs="Times New Roman"/>
                <w:color w:val="FFFFFF" w:themeColor="background1"/>
                <w:sz w:val="20"/>
                <w:szCs w:val="20"/>
                <w:lang w:val="en-GB" w:eastAsia="en-GB"/>
              </w:rPr>
            </w:pPr>
            <w:r w:rsidRPr="008B6BE9">
              <w:rPr>
                <w:rFonts w:ascii="Aptos" w:eastAsia="Times New Roman" w:hAnsi="Aptos" w:cs="Times New Roman"/>
                <w:b/>
                <w:bCs/>
                <w:color w:val="FFFFFF" w:themeColor="background1"/>
                <w:kern w:val="0"/>
                <w:sz w:val="20"/>
                <w:szCs w:val="20"/>
                <w:lang w:val="en-GB" w:eastAsia="en-GB"/>
                <w14:ligatures w14:val="none"/>
              </w:rPr>
              <w:t>Step deadline</w:t>
            </w:r>
          </w:p>
        </w:tc>
        <w:tc>
          <w:tcPr>
            <w:tcW w:w="6804" w:type="dxa"/>
          </w:tcPr>
          <w:p w14:paraId="776B384A" w14:textId="21C8491C" w:rsidR="006F0041" w:rsidRPr="00323A54"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December 202</w:t>
            </w:r>
            <w:r w:rsidR="00664947" w:rsidRPr="00323A54">
              <w:rPr>
                <w:rFonts w:ascii="Aptos" w:eastAsia="Times New Roman" w:hAnsi="Aptos" w:cs="Times New Roman"/>
                <w:color w:val="000000"/>
                <w:kern w:val="0"/>
                <w:sz w:val="20"/>
                <w:szCs w:val="20"/>
                <w:lang w:val="en-GB" w:eastAsia="en-GB"/>
                <w14:ligatures w14:val="none"/>
              </w:rPr>
              <w:t>5</w:t>
            </w:r>
          </w:p>
        </w:tc>
      </w:tr>
      <w:tr w:rsidR="006F0041" w:rsidRPr="00323A54" w14:paraId="50BEE210" w14:textId="77777777" w:rsidTr="00314DB3">
        <w:trPr>
          <w:trHeight w:val="553"/>
        </w:trPr>
        <w:tc>
          <w:tcPr>
            <w:tcW w:w="2122" w:type="dxa"/>
            <w:shd w:val="clear" w:color="auto" w:fill="44546A" w:themeFill="text2"/>
          </w:tcPr>
          <w:p w14:paraId="364658D5"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Step value in EUR</w:t>
            </w:r>
          </w:p>
        </w:tc>
        <w:tc>
          <w:tcPr>
            <w:tcW w:w="6804" w:type="dxa"/>
          </w:tcPr>
          <w:p w14:paraId="43CAA8EA" w14:textId="6431216C" w:rsidR="006F0041" w:rsidRPr="00323A54" w:rsidRDefault="00664947" w:rsidP="00314DB3">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27.175.246,75</w:t>
            </w:r>
          </w:p>
        </w:tc>
      </w:tr>
      <w:tr w:rsidR="006F0041" w:rsidRPr="00323A54" w14:paraId="09B6546C" w14:textId="77777777" w:rsidTr="00314DB3">
        <w:trPr>
          <w:trHeight w:val="535"/>
        </w:trPr>
        <w:tc>
          <w:tcPr>
            <w:tcW w:w="2122" w:type="dxa"/>
            <w:shd w:val="clear" w:color="auto" w:fill="44546A" w:themeFill="text2"/>
          </w:tcPr>
          <w:p w14:paraId="45F35D79"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Responsible</w:t>
            </w:r>
          </w:p>
        </w:tc>
        <w:tc>
          <w:tcPr>
            <w:tcW w:w="6804" w:type="dxa"/>
          </w:tcPr>
          <w:p w14:paraId="2455C6BF" w14:textId="77777777" w:rsidR="006F0041" w:rsidRPr="00323A54"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Working group for the Improvement of the Electoral Process</w:t>
            </w:r>
          </w:p>
        </w:tc>
      </w:tr>
      <w:tr w:rsidR="006F0041" w:rsidRPr="00323A54" w14:paraId="185DECD7" w14:textId="77777777" w:rsidTr="00314DB3">
        <w:trPr>
          <w:trHeight w:val="583"/>
        </w:trPr>
        <w:tc>
          <w:tcPr>
            <w:tcW w:w="2122" w:type="dxa"/>
            <w:shd w:val="clear" w:color="auto" w:fill="44546A" w:themeFill="text2"/>
          </w:tcPr>
          <w:p w14:paraId="32D16E34" w14:textId="77777777" w:rsidR="006F0041" w:rsidRPr="008B6BE9" w:rsidRDefault="006F0041" w:rsidP="00314DB3">
            <w:pPr>
              <w:spacing w:before="120" w:after="120"/>
              <w:rPr>
                <w:rFonts w:ascii="Aptos" w:eastAsia="Times New Roman" w:hAnsi="Aptos" w:cs="Times New Roman"/>
                <w:color w:val="FFFFFF" w:themeColor="background1"/>
                <w:sz w:val="20"/>
                <w:szCs w:val="20"/>
                <w:lang w:val="en-GB" w:eastAsia="en-GB"/>
              </w:rPr>
            </w:pPr>
            <w:r w:rsidRPr="008B6BE9">
              <w:rPr>
                <w:rFonts w:ascii="Aptos" w:eastAsia="Times New Roman" w:hAnsi="Aptos" w:cs="Times New Roman"/>
                <w:b/>
                <w:bCs/>
                <w:color w:val="FFFFFF" w:themeColor="background1"/>
                <w:kern w:val="0"/>
                <w:sz w:val="20"/>
                <w:szCs w:val="20"/>
                <w:lang w:val="en-GB" w:eastAsia="en-GB"/>
                <w14:ligatures w14:val="none"/>
              </w:rPr>
              <w:t>Baseline</w:t>
            </w:r>
          </w:p>
        </w:tc>
        <w:tc>
          <w:tcPr>
            <w:tcW w:w="6804" w:type="dxa"/>
          </w:tcPr>
          <w:p w14:paraId="277D98DC" w14:textId="77777777" w:rsidR="006F0041" w:rsidRPr="00323A54" w:rsidRDefault="006F0041" w:rsidP="00314DB3">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 xml:space="preserve">ODIHR February 2024 Report recommending </w:t>
            </w:r>
            <w:proofErr w:type="gramStart"/>
            <w:r w:rsidRPr="00323A54">
              <w:rPr>
                <w:rFonts w:ascii="Aptos" w:eastAsia="Times New Roman" w:hAnsi="Aptos" w:cs="Times New Roman"/>
                <w:color w:val="000000"/>
                <w:kern w:val="0"/>
                <w:sz w:val="20"/>
                <w:szCs w:val="20"/>
                <w:lang w:val="en-GB" w:eastAsia="en-GB"/>
                <w14:ligatures w14:val="none"/>
              </w:rPr>
              <w:t>to address</w:t>
            </w:r>
            <w:proofErr w:type="gramEnd"/>
            <w:r w:rsidRPr="00323A54">
              <w:rPr>
                <w:rFonts w:ascii="Aptos" w:eastAsia="Times New Roman" w:hAnsi="Aptos" w:cs="Times New Roman"/>
                <w:color w:val="000000"/>
                <w:kern w:val="0"/>
                <w:sz w:val="20"/>
                <w:szCs w:val="20"/>
                <w:lang w:val="en-GB" w:eastAsia="en-GB"/>
                <w14:ligatures w14:val="none"/>
              </w:rPr>
              <w:t xml:space="preserve"> as a matter of priority recommendations pertaining to REM, Voter Register and Working group</w:t>
            </w:r>
          </w:p>
        </w:tc>
      </w:tr>
      <w:tr w:rsidR="006F0041" w:rsidRPr="00323A54" w14:paraId="7E4BD623" w14:textId="77777777" w:rsidTr="00314DB3">
        <w:trPr>
          <w:trHeight w:val="577"/>
        </w:trPr>
        <w:tc>
          <w:tcPr>
            <w:tcW w:w="2122" w:type="dxa"/>
            <w:shd w:val="clear" w:color="auto" w:fill="44546A" w:themeFill="text2"/>
          </w:tcPr>
          <w:p w14:paraId="6653C16E" w14:textId="77777777" w:rsidR="006F0041" w:rsidRPr="008B6BE9" w:rsidRDefault="006F0041" w:rsidP="00314DB3">
            <w:pPr>
              <w:spacing w:before="120" w:after="120"/>
              <w:rPr>
                <w:rFonts w:ascii="Aptos" w:eastAsia="Times New Roman" w:hAnsi="Aptos" w:cs="Times New Roman"/>
                <w:b/>
                <w:bCs/>
                <w:color w:val="FFFFFF" w:themeColor="background1"/>
                <w:kern w:val="0"/>
                <w:sz w:val="20"/>
                <w:szCs w:val="20"/>
                <w:lang w:val="en-GB" w:eastAsia="en-GB"/>
                <w14:ligatures w14:val="none"/>
              </w:rPr>
            </w:pPr>
            <w:r w:rsidRPr="008B6BE9">
              <w:rPr>
                <w:rFonts w:ascii="Aptos" w:eastAsia="Times New Roman" w:hAnsi="Aptos" w:cs="Times New Roman"/>
                <w:b/>
                <w:bCs/>
                <w:color w:val="FFFFFF" w:themeColor="background1"/>
                <w:kern w:val="0"/>
                <w:sz w:val="20"/>
                <w:szCs w:val="20"/>
                <w:lang w:val="en-GB" w:eastAsia="en-GB"/>
                <w14:ligatures w14:val="none"/>
              </w:rPr>
              <w:t>Sources of verification</w:t>
            </w:r>
          </w:p>
        </w:tc>
        <w:tc>
          <w:tcPr>
            <w:tcW w:w="6804" w:type="dxa"/>
          </w:tcPr>
          <w:p w14:paraId="3630842F" w14:textId="749F66F0" w:rsidR="006F0041" w:rsidRPr="00323A54" w:rsidRDefault="00664947" w:rsidP="00314DB3">
            <w:pPr>
              <w:spacing w:before="120" w:after="120"/>
              <w:rPr>
                <w:rFonts w:ascii="Aptos" w:eastAsia="Times New Roman" w:hAnsi="Aptos" w:cs="Times New Roman"/>
                <w:color w:val="000000"/>
                <w:kern w:val="0"/>
                <w:sz w:val="20"/>
                <w:szCs w:val="20"/>
                <w:lang w:val="en-GB" w:eastAsia="en-GB"/>
                <w14:ligatures w14:val="none"/>
              </w:rPr>
            </w:pPr>
            <w:r w:rsidRPr="00323A54">
              <w:rPr>
                <w:rFonts w:ascii="Aptos" w:eastAsia="Times New Roman" w:hAnsi="Aptos" w:cs="Times New Roman"/>
                <w:color w:val="000000"/>
                <w:kern w:val="0"/>
                <w:sz w:val="20"/>
                <w:szCs w:val="20"/>
                <w:lang w:val="en-GB" w:eastAsia="en-GB"/>
                <w14:ligatures w14:val="none"/>
              </w:rPr>
              <w:t>Official Gazette (for the relevant legislation), Decision published</w:t>
            </w:r>
          </w:p>
        </w:tc>
      </w:tr>
    </w:tbl>
    <w:p w14:paraId="3E62FF77" w14:textId="77777777" w:rsidR="006F0041" w:rsidRPr="00323A54" w:rsidRDefault="006F0041" w:rsidP="006F0041">
      <w:pPr>
        <w:rPr>
          <w:lang w:val="en-GB"/>
        </w:rPr>
      </w:pPr>
    </w:p>
    <w:p w14:paraId="76EF50B8" w14:textId="77777777" w:rsidR="006F0041" w:rsidRPr="00323A54" w:rsidRDefault="006F0041" w:rsidP="006F0041">
      <w:pPr>
        <w:pStyle w:val="Heading1"/>
        <w:numPr>
          <w:ilvl w:val="0"/>
          <w:numId w:val="1"/>
        </w:numPr>
        <w:rPr>
          <w:lang w:val="en-GB"/>
        </w:rPr>
      </w:pPr>
      <w:r w:rsidRPr="00323A54">
        <w:rPr>
          <w:lang w:val="en-GB"/>
        </w:rPr>
        <w:t>Analysis</w:t>
      </w:r>
    </w:p>
    <w:p w14:paraId="55F8908A" w14:textId="77777777" w:rsidR="006F0041" w:rsidRPr="00323A54" w:rsidRDefault="006F0041" w:rsidP="006F0041">
      <w:pPr>
        <w:rPr>
          <w:lang w:val="en-GB"/>
        </w:rPr>
      </w:pPr>
    </w:p>
    <w:tbl>
      <w:tblPr>
        <w:tblStyle w:val="GridTable1Light"/>
        <w:tblW w:w="0" w:type="auto"/>
        <w:tblLook w:val="0480" w:firstRow="0" w:lastRow="0" w:firstColumn="1" w:lastColumn="0" w:noHBand="0" w:noVBand="1"/>
      </w:tblPr>
      <w:tblGrid>
        <w:gridCol w:w="1711"/>
        <w:gridCol w:w="7305"/>
      </w:tblGrid>
      <w:tr w:rsidR="006F0041" w:rsidRPr="00323A54" w14:paraId="675B00C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BCDD4FA"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t>Define step milestones</w:t>
            </w:r>
          </w:p>
        </w:tc>
        <w:tc>
          <w:tcPr>
            <w:tcW w:w="6753" w:type="dxa"/>
          </w:tcPr>
          <w:p w14:paraId="05D4EE3D" w14:textId="77777777" w:rsidR="00323A54" w:rsidRPr="00323A54" w:rsidRDefault="00323A54" w:rsidP="00323A54">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 xml:space="preserve">A decision by the Working Group for the Improvement of the Electoral Process (hereinafter: the “WG”) on the manner of addressing the relevant ODIHR recommendations, and the preparation of a draft legislative act. </w:t>
            </w:r>
          </w:p>
          <w:p w14:paraId="488F86B9" w14:textId="77777777" w:rsidR="00323A54" w:rsidRPr="00323A54" w:rsidRDefault="00323A54" w:rsidP="00323A54">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 xml:space="preserve">A public consultation process on the draft act and/or proposed amendments to the existing legislation. </w:t>
            </w:r>
          </w:p>
          <w:p w14:paraId="68159079" w14:textId="77777777" w:rsidR="00323A54" w:rsidRPr="00323A54" w:rsidRDefault="00323A54" w:rsidP="00323A54">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 xml:space="preserve">The adoption of a new act or amendments to the existing legislation. </w:t>
            </w:r>
          </w:p>
          <w:p w14:paraId="5602E48C" w14:textId="77777777" w:rsidR="00323A54" w:rsidRPr="00323A54" w:rsidRDefault="00323A54" w:rsidP="00323A54">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 xml:space="preserve">The implementation of the act, including the establishment of the Secretariat of the Republic Electoral Commission (REC). </w:t>
            </w:r>
          </w:p>
          <w:p w14:paraId="2B4A95A1" w14:textId="28087B95" w:rsidR="006F0041" w:rsidRPr="006723BF" w:rsidRDefault="00323A54" w:rsidP="006723BF">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The staffing of the Secretariat, in accordance with the provisions of the act.</w:t>
            </w:r>
          </w:p>
        </w:tc>
      </w:tr>
      <w:tr w:rsidR="006F0041" w:rsidRPr="00323A54" w14:paraId="5277D33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93AA4F8"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lastRenderedPageBreak/>
              <w:t>Analyse achievement of each milestone</w:t>
            </w:r>
          </w:p>
        </w:tc>
        <w:tc>
          <w:tcPr>
            <w:tcW w:w="6753" w:type="dxa"/>
          </w:tcPr>
          <w:p w14:paraId="49D79888"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For each identified milestone, provide a succinct analysis of its implementation process. Use numbered points corresponding to the defined milestones above. Please provide references wherever possible.</w:t>
            </w:r>
          </w:p>
          <w:p w14:paraId="6C490E5F" w14:textId="69683C2E" w:rsidR="00955328" w:rsidRPr="00323A54" w:rsidRDefault="00955328"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For all milestones:</w:t>
            </w:r>
          </w:p>
          <w:p w14:paraId="5C799FD0" w14:textId="5562A3CE" w:rsidR="00955328" w:rsidRPr="00323A54" w:rsidRDefault="001104DD" w:rsidP="001104D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The WG has been dysfunctional since February 2025, following the withdrawal of five members nominated by opposition parties and three members nominated by civil society organisations.</w:t>
            </w:r>
            <w:r w:rsidR="00955328" w:rsidRPr="00323A54">
              <w:rPr>
                <w:sz w:val="20"/>
                <w:szCs w:val="20"/>
                <w:lang w:val="en-GB"/>
              </w:rPr>
              <w:t xml:space="preserve"> There was no attempt to change composition of the WG, to establish other body with similar tasks or to assign tasks of the WG to the competent ministries. </w:t>
            </w:r>
          </w:p>
          <w:p w14:paraId="17F29B99" w14:textId="77777777" w:rsidR="00323A54" w:rsidRPr="00323A54" w:rsidRDefault="00323A54" w:rsidP="001104DD">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3CBE8AC5" w14:textId="77777777" w:rsidR="00323A54" w:rsidRPr="00323A54" w:rsidRDefault="00323A54" w:rsidP="00323A5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The very formulation of the reform step is problematic. There is no clear legal basis for the National Assembly to establish a Secretariat of the Republic Electoral Commission (REC) through a “decision”, as currently formulated.</w:t>
            </w:r>
          </w:p>
          <w:p w14:paraId="74DE7DA8" w14:textId="4FCCCFDA" w:rsidR="00323A54" w:rsidRPr="00323A54" w:rsidRDefault="00323A54" w:rsidP="00323A54">
            <w:pPr>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During its work, the Working Group for the Improvement of the Electoral Process (hereinafter: the “WG”) did not consider how to address the relevant ODIHR recommendations concerning the establishment of an REC Secretariat. Certain members proposed a broader institutional reform, namely the transformation of the REC into an independent state body with its own budget and staff. At the same time, it appears that this issue was considered within the Parliamentary Service. Subsequently, at its session of 9 May 2024, the Committee on Administrative, Budgetary and Mandate-Immunity Issues proposed amendments to the Decision on the Parliamentary Service</w:t>
            </w:r>
            <w:r>
              <w:rPr>
                <w:rStyle w:val="FootnoteReference"/>
                <w:sz w:val="20"/>
                <w:szCs w:val="20"/>
                <w:lang w:val="en-GB"/>
              </w:rPr>
              <w:footnoteReference w:id="1"/>
            </w:r>
            <w:r w:rsidRPr="00323A54">
              <w:rPr>
                <w:sz w:val="20"/>
                <w:szCs w:val="20"/>
                <w:lang w:val="en-GB"/>
              </w:rPr>
              <w:t xml:space="preserve">. The principal effect of these amendments was to introduce greater flexibility in the organisation of the Parliamentary Service. Rather than prescribing the structure of the Parliamentary Service in a decision of the National Assembly, the amendments authorised the Secretary-General to determine the internal structure (including sectors and subordinate units) through the Rulebook on Internal Organisation and Systematisation of Posts in the Parliamentary Service (hereinafter: the “Act on Systematisation”). </w:t>
            </w:r>
          </w:p>
          <w:p w14:paraId="16878AEC" w14:textId="37D7444A" w:rsidR="00323A54" w:rsidRPr="00323A54" w:rsidRDefault="00323A54" w:rsidP="00323A54">
            <w:pPr>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No public consultation process was organised in respect of the proposed amendments. While the session of the Committee was formally open to the public, a video recording is not currently available</w:t>
            </w:r>
            <w:r>
              <w:rPr>
                <w:rStyle w:val="FootnoteReference"/>
                <w:sz w:val="20"/>
                <w:szCs w:val="20"/>
                <w:lang w:val="en-GB"/>
              </w:rPr>
              <w:footnoteReference w:id="2"/>
            </w:r>
            <w:r w:rsidRPr="00323A54">
              <w:rPr>
                <w:sz w:val="20"/>
                <w:szCs w:val="20"/>
                <w:lang w:val="en-GB"/>
              </w:rPr>
              <w:t xml:space="preserve">. </w:t>
            </w:r>
          </w:p>
          <w:p w14:paraId="68E940FF" w14:textId="77423DA8" w:rsidR="00323A54" w:rsidRPr="00323A54" w:rsidRDefault="00323A54" w:rsidP="00323A54">
            <w:pPr>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The National Assembly adopted the amended Decision on the Parliamentary Service on 31 July 2024</w:t>
            </w:r>
            <w:r>
              <w:rPr>
                <w:rStyle w:val="FootnoteReference"/>
                <w:sz w:val="20"/>
                <w:szCs w:val="20"/>
                <w:lang w:val="en-GB"/>
              </w:rPr>
              <w:footnoteReference w:id="3"/>
            </w:r>
            <w:r w:rsidRPr="00323A54">
              <w:rPr>
                <w:sz w:val="20"/>
                <w:szCs w:val="20"/>
                <w:lang w:val="en-GB"/>
              </w:rPr>
              <w:t>. Subsequently, on 20 December 2024, the Secretary-General adopted a new Act on Systematisation</w:t>
            </w:r>
            <w:r>
              <w:rPr>
                <w:rStyle w:val="FootnoteReference"/>
                <w:sz w:val="20"/>
                <w:szCs w:val="20"/>
                <w:lang w:val="en-GB"/>
              </w:rPr>
              <w:footnoteReference w:id="4"/>
            </w:r>
            <w:r w:rsidRPr="00323A54">
              <w:rPr>
                <w:sz w:val="20"/>
                <w:szCs w:val="20"/>
                <w:lang w:val="en-GB"/>
              </w:rPr>
              <w:t xml:space="preserve">, which, in its Article 7, provides for the establishment of a “Sector for the Support of the Republic Electoral Commission” as a distinct organisational unit. The Act envisages 21 posts and a total of 39 staff members. The Head of the Sector is designated as an Assistant to the Secretary-General. </w:t>
            </w:r>
          </w:p>
          <w:p w14:paraId="576F587E" w14:textId="54ED06C9" w:rsidR="00323A54" w:rsidRDefault="00323A54" w:rsidP="00323A54">
            <w:pPr>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lastRenderedPageBreak/>
              <w:t xml:space="preserve">There is no publicly available information on the </w:t>
            </w:r>
            <w:proofErr w:type="gramStart"/>
            <w:r w:rsidRPr="00323A54">
              <w:rPr>
                <w:sz w:val="20"/>
                <w:szCs w:val="20"/>
                <w:lang w:val="en-GB"/>
              </w:rPr>
              <w:t>current status</w:t>
            </w:r>
            <w:proofErr w:type="gramEnd"/>
            <w:r w:rsidRPr="00323A54">
              <w:rPr>
                <w:sz w:val="20"/>
                <w:szCs w:val="20"/>
                <w:lang w:val="en-GB"/>
              </w:rPr>
              <w:t xml:space="preserve"> of implementation. The Informative Directory of the National Assembly has not been updated since 2022</w:t>
            </w:r>
            <w:r>
              <w:rPr>
                <w:rStyle w:val="FootnoteReference"/>
                <w:sz w:val="20"/>
                <w:szCs w:val="20"/>
                <w:lang w:val="en-GB"/>
              </w:rPr>
              <w:footnoteReference w:id="5"/>
            </w:r>
            <w:r w:rsidRPr="00323A54">
              <w:rPr>
                <w:sz w:val="20"/>
                <w:szCs w:val="20"/>
                <w:lang w:val="en-GB"/>
              </w:rPr>
              <w:t>. No information is available regarding the appointment of Assistants to the Secretary-General</w:t>
            </w:r>
            <w:r>
              <w:rPr>
                <w:rStyle w:val="FootnoteReference"/>
                <w:sz w:val="20"/>
                <w:szCs w:val="20"/>
                <w:lang w:val="en-GB"/>
              </w:rPr>
              <w:footnoteReference w:id="6"/>
            </w:r>
            <w:r w:rsidRPr="00323A54">
              <w:rPr>
                <w:sz w:val="20"/>
                <w:szCs w:val="20"/>
                <w:lang w:val="en-GB"/>
              </w:rPr>
              <w:t>; consequently, it remains unclear whether the Head of the Sector has been appointed. Furthermore, the REC website contains no reference to the existence of such a Sector</w:t>
            </w:r>
            <w:r w:rsidR="00B36D1F">
              <w:rPr>
                <w:rStyle w:val="FootnoteReference"/>
                <w:sz w:val="20"/>
                <w:szCs w:val="20"/>
                <w:lang w:val="en-GB"/>
              </w:rPr>
              <w:footnoteReference w:id="7"/>
            </w:r>
            <w:r w:rsidRPr="00323A54">
              <w:rPr>
                <w:sz w:val="20"/>
                <w:szCs w:val="20"/>
                <w:lang w:val="en-GB"/>
              </w:rPr>
              <w:t>.</w:t>
            </w:r>
          </w:p>
          <w:p w14:paraId="21679E16" w14:textId="2171F379" w:rsidR="006723BF" w:rsidRPr="00323A54" w:rsidRDefault="006723BF" w:rsidP="00323A54">
            <w:pPr>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Three is no publicly available information. </w:t>
            </w:r>
          </w:p>
          <w:p w14:paraId="1BD84265" w14:textId="21FA6865" w:rsidR="006F0041" w:rsidRPr="00323A54" w:rsidRDefault="0020490E" w:rsidP="00323A54">
            <w:pPr>
              <w:spacing w:before="120" w:after="120"/>
              <w:ind w:left="36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kern w:val="0"/>
                <w:sz w:val="20"/>
                <w:szCs w:val="20"/>
                <w:lang w:val="en-GB" w:eastAsia="en-GB"/>
                <w14:ligatures w14:val="none"/>
              </w:rPr>
            </w:pPr>
            <w:r w:rsidRPr="00323A54">
              <w:rPr>
                <w:rFonts w:eastAsia="Times New Roman" w:cstheme="minorHAnsi"/>
                <w:color w:val="000000"/>
                <w:kern w:val="0"/>
                <w:sz w:val="20"/>
                <w:szCs w:val="20"/>
                <w:lang w:val="en-GB" w:eastAsia="en-GB"/>
                <w14:ligatures w14:val="none"/>
              </w:rPr>
              <w:t xml:space="preserve"> </w:t>
            </w:r>
          </w:p>
        </w:tc>
      </w:tr>
      <w:tr w:rsidR="006F0041" w:rsidRPr="00323A54" w14:paraId="5B890CEE"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9EFADFD"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lastRenderedPageBreak/>
              <w:t>Key issues in implementation</w:t>
            </w:r>
          </w:p>
        </w:tc>
        <w:tc>
          <w:tcPr>
            <w:tcW w:w="6753" w:type="dxa"/>
          </w:tcPr>
          <w:p w14:paraId="5AF2B327"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7A05E482"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The reform step itself is not defined with sufficient clarity. There is no legal basis for the National Assembly to establish a Secretariat of the Republic Electoral Commission (REC) through a “decision”.</w:t>
            </w:r>
          </w:p>
          <w:p w14:paraId="4F1C428A"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The Working Group responsible for implementing this reform step was not functional during 2025 and 2026 and encountered significant challenges in its work. These included political polarisation among stakeholders, a lack of initiative, insufficient acknowledgment within the ruling coalition of issues identified by ODIHR and the Venice Commission, a complex decision-making process, and limited cooperation from other institutions. Furthermore, the issue of the REC Secretariat was not substantively addressed within the Working Group in 2024.</w:t>
            </w:r>
          </w:p>
          <w:p w14:paraId="0A3196F5"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 xml:space="preserve">The establishment of an REC Secretariat </w:t>
            </w:r>
            <w:r w:rsidRPr="00B36D1F">
              <w:rPr>
                <w:i/>
                <w:iCs/>
                <w:sz w:val="20"/>
                <w:szCs w:val="20"/>
                <w:lang w:val="en-GB"/>
              </w:rPr>
              <w:t>stricto sensu</w:t>
            </w:r>
            <w:r w:rsidRPr="00B36D1F">
              <w:rPr>
                <w:sz w:val="20"/>
                <w:szCs w:val="20"/>
                <w:lang w:val="en-GB"/>
              </w:rPr>
              <w:t xml:space="preserve"> would require the prior establishment of the REC as an independent state body. If administrative support to the REC is instead provided by the Parliamentary Service, this would, at most, result in the creation of a dedicated organisational unit within the Parliamentary Service, subordinated to the Secretary-General of the National Assembly, rather than constituting a “Secretariat of the REC”. Since organisational units within the Parliamentary Service are generally regulated by decisions of the National Assembly, it is likely that the reform step was originally conceived as the establishment of such a unit within the Parliamentary Service.</w:t>
            </w:r>
          </w:p>
          <w:p w14:paraId="3E247907" w14:textId="63BE913D"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U</w:t>
            </w:r>
            <w:r w:rsidRPr="00B36D1F">
              <w:rPr>
                <w:sz w:val="20"/>
                <w:szCs w:val="20"/>
                <w:lang w:val="en-GB"/>
              </w:rPr>
              <w:t xml:space="preserve">ltimately, the amended Decision did not directly regulate the establishment of a dedicated “REC Support Unit”; it merely created the possibility for such a unit to be established by the Secretary-General through the Act on Systematisation, which occurred six months later, in December 2024. This approach provides a substantially lower degree of guarantee for the independence and support of the REC, as the unit </w:t>
            </w:r>
            <w:r w:rsidRPr="00B36D1F">
              <w:rPr>
                <w:sz w:val="20"/>
                <w:szCs w:val="20"/>
                <w:lang w:val="en-GB"/>
              </w:rPr>
              <w:lastRenderedPageBreak/>
              <w:t>may be abolished at any time by a decision of the Secretary-General, whereas a change to the Decision would require the approval of a parliamentary majority.</w:t>
            </w:r>
          </w:p>
          <w:p w14:paraId="2BCFBCC1" w14:textId="482F9045" w:rsidR="006F0041"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B36D1F">
              <w:rPr>
                <w:sz w:val="20"/>
                <w:szCs w:val="20"/>
                <w:lang w:val="en-GB"/>
              </w:rPr>
              <w:t xml:space="preserve">In practice, the reform has not produced any discernible improvements. Even basic information remains unavailable—specifically, whether the Head of the Unit has been appointed, and how many of the 29 planned staff are </w:t>
            </w:r>
            <w:proofErr w:type="gramStart"/>
            <w:r w:rsidRPr="00B36D1F">
              <w:rPr>
                <w:sz w:val="20"/>
                <w:szCs w:val="20"/>
                <w:lang w:val="en-GB"/>
              </w:rPr>
              <w:t>actually assigned</w:t>
            </w:r>
            <w:proofErr w:type="gramEnd"/>
            <w:r w:rsidRPr="00B36D1F">
              <w:rPr>
                <w:sz w:val="20"/>
                <w:szCs w:val="20"/>
                <w:lang w:val="en-GB"/>
              </w:rPr>
              <w:t xml:space="preserve"> to the REC.</w:t>
            </w:r>
            <w:r w:rsidR="007D4B43" w:rsidRPr="00B36D1F">
              <w:rPr>
                <w:sz w:val="20"/>
                <w:szCs w:val="20"/>
                <w:lang w:val="en-GB"/>
              </w:rPr>
              <w:t xml:space="preserve"> </w:t>
            </w:r>
            <w:r w:rsidR="00442E42" w:rsidRPr="00B36D1F">
              <w:rPr>
                <w:sz w:val="20"/>
                <w:szCs w:val="20"/>
                <w:lang w:val="en-GB"/>
              </w:rPr>
              <w:t xml:space="preserve"> </w:t>
            </w:r>
            <w:r w:rsidR="00442E42" w:rsidRPr="00323A54">
              <w:rPr>
                <w:sz w:val="20"/>
                <w:szCs w:val="20"/>
                <w:lang w:val="en-GB"/>
              </w:rPr>
              <w:t xml:space="preserve">  </w:t>
            </w:r>
          </w:p>
        </w:tc>
      </w:tr>
      <w:tr w:rsidR="006F0041" w:rsidRPr="00323A54" w14:paraId="5686E317"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3C1F7FA"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lastRenderedPageBreak/>
              <w:t>Analyse how key principles of RGF were respected in the reform step implementation</w:t>
            </w:r>
          </w:p>
        </w:tc>
        <w:tc>
          <w:tcPr>
            <w:tcW w:w="6753" w:type="dxa"/>
          </w:tcPr>
          <w:p w14:paraId="335312C7"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150437C9"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DDCC52D" w14:textId="61EF12D6" w:rsidR="006F0041" w:rsidRPr="00323A54" w:rsidRDefault="001A17A3"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D</w:t>
            </w:r>
            <w:r w:rsidR="006F0041" w:rsidRPr="00323A54">
              <w:rPr>
                <w:i/>
                <w:iCs/>
                <w:sz w:val="20"/>
                <w:szCs w:val="20"/>
                <w:lang w:val="en-GB"/>
              </w:rPr>
              <w:t xml:space="preserve">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79854129"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Please provide references wherever possible.</w:t>
            </w:r>
          </w:p>
          <w:p w14:paraId="0821BEBB"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23A54">
              <w:rPr>
                <w:b/>
                <w:bCs/>
                <w:sz w:val="20"/>
                <w:szCs w:val="20"/>
                <w:lang w:val="en-GB"/>
              </w:rPr>
              <w:t>Key issues</w:t>
            </w:r>
          </w:p>
          <w:p w14:paraId="5CEE98E8"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23A54">
              <w:rPr>
                <w:b/>
                <w:bCs/>
                <w:sz w:val="20"/>
                <w:szCs w:val="20"/>
                <w:lang w:val="en-GB"/>
              </w:rPr>
              <w:t>Transparency</w:t>
            </w:r>
          </w:p>
          <w:p w14:paraId="6A72CB8D"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Only part of the information is publicly accessible, namely the adopted acts.</w:t>
            </w:r>
            <w:r w:rsidRPr="00B36D1F">
              <w:rPr>
                <w:sz w:val="20"/>
                <w:szCs w:val="20"/>
                <w:lang w:val="en-GB"/>
              </w:rPr>
              <w:br/>
            </w:r>
          </w:p>
          <w:p w14:paraId="39453500" w14:textId="15409A79"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No information is available regarding the practical effects or implementation of the new regulations.</w:t>
            </w:r>
          </w:p>
          <w:p w14:paraId="3660ADE5" w14:textId="3F93EC86" w:rsidR="006F0041" w:rsidRPr="00323A54" w:rsidRDefault="006F0041" w:rsidP="0061058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23A54">
              <w:rPr>
                <w:b/>
                <w:bCs/>
                <w:sz w:val="20"/>
                <w:szCs w:val="20"/>
                <w:lang w:val="en-GB"/>
              </w:rPr>
              <w:t>Inclusivity</w:t>
            </w:r>
          </w:p>
          <w:p w14:paraId="601C13EB" w14:textId="4964C57F" w:rsidR="00B36D1F" w:rsidRPr="00323A54"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rPr>
              <w:t xml:space="preserve">The process did not involve any external stakeholders, such as civil society </w:t>
            </w:r>
            <w:proofErr w:type="spellStart"/>
            <w:r w:rsidRPr="00B36D1F">
              <w:rPr>
                <w:sz w:val="20"/>
                <w:szCs w:val="20"/>
              </w:rPr>
              <w:t>organisations</w:t>
            </w:r>
            <w:proofErr w:type="spellEnd"/>
            <w:r w:rsidRPr="00B36D1F">
              <w:rPr>
                <w:sz w:val="20"/>
                <w:szCs w:val="20"/>
              </w:rPr>
              <w:t xml:space="preserve"> or citizens, and was limited exclusively to Members of Parliament and the Parliamentary Service.</w:t>
            </w:r>
          </w:p>
          <w:p w14:paraId="5B5C35FB" w14:textId="232C939B" w:rsidR="00027923" w:rsidRPr="00B36D1F" w:rsidRDefault="00027923" w:rsidP="0061058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4182EB3A" w14:textId="77777777" w:rsidR="00027923" w:rsidRPr="00323A54"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323A54" w14:paraId="2EB9E1F2"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FC2CD17"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t>Public availability of evidence of implementation</w:t>
            </w:r>
          </w:p>
        </w:tc>
        <w:tc>
          <w:tcPr>
            <w:tcW w:w="6753" w:type="dxa"/>
          </w:tcPr>
          <w:p w14:paraId="3F4295C4"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Has the final source of verification (as per Reform Agenda) been made publicly available? If yes, please list the source (provide link) and date.</w:t>
            </w:r>
          </w:p>
          <w:p w14:paraId="787852B2" w14:textId="2B078AB5" w:rsidR="006F0041" w:rsidRPr="00323A54"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 xml:space="preserve">Yes. </w:t>
            </w:r>
          </w:p>
          <w:p w14:paraId="61080C1B" w14:textId="4699F7B7" w:rsidR="00C32E12" w:rsidRPr="00323A54"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31.07.2024.</w:t>
            </w:r>
          </w:p>
          <w:p w14:paraId="3B097658" w14:textId="012DD81C" w:rsidR="006F0041" w:rsidRPr="00323A54"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323A54">
                <w:rPr>
                  <w:rStyle w:val="Hyperlink"/>
                  <w:sz w:val="20"/>
                  <w:szCs w:val="20"/>
                  <w:lang w:val="en-GB"/>
                </w:rPr>
                <w:t>https://www.parlament.gov.rs/upload/archive/files/cir/pdf/ostala_akta/14_saziv/RS34-24.pdf</w:t>
              </w:r>
            </w:hyperlink>
            <w:r w:rsidRPr="00323A54">
              <w:rPr>
                <w:sz w:val="20"/>
                <w:szCs w:val="20"/>
                <w:lang w:val="en-GB"/>
              </w:rPr>
              <w:t xml:space="preserve"> </w:t>
            </w:r>
          </w:p>
          <w:p w14:paraId="54992CC4" w14:textId="5042FFE8" w:rsidR="00C32E12" w:rsidRPr="00323A54"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323A54">
                <w:rPr>
                  <w:rStyle w:val="Hyperlink"/>
                  <w:sz w:val="20"/>
                  <w:szCs w:val="20"/>
                  <w:lang w:val="en-GB"/>
                </w:rPr>
                <w:t>https://www.parlament.gov.rs/upload/documents/dokumenta/PRAVILNIK-sistematizacija%20sajt%2012_2024%20lat.doc</w:t>
              </w:r>
            </w:hyperlink>
            <w:r w:rsidRPr="00323A54">
              <w:rPr>
                <w:sz w:val="20"/>
                <w:szCs w:val="20"/>
                <w:lang w:val="en-GB"/>
              </w:rPr>
              <w:t xml:space="preserve"> </w:t>
            </w:r>
          </w:p>
          <w:p w14:paraId="48D47241" w14:textId="0AA95536" w:rsidR="00C32E12" w:rsidRPr="00323A54"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20.12.2024.</w:t>
            </w:r>
          </w:p>
          <w:p w14:paraId="750DD539"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6F0041" w:rsidRPr="00323A54" w14:paraId="26BA2A46"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C1DCCAB" w14:textId="77777777" w:rsidR="006F0041" w:rsidRPr="008B6BE9" w:rsidRDefault="006F0041" w:rsidP="00314DB3">
            <w:pPr>
              <w:spacing w:before="120" w:after="120"/>
              <w:rPr>
                <w:rFonts w:ascii="Aptos" w:eastAsia="Times New Roman" w:hAnsi="Aptos" w:cs="Times New Roman"/>
                <w:color w:val="FFFFFF" w:themeColor="background1"/>
                <w:kern w:val="0"/>
                <w:sz w:val="20"/>
                <w:szCs w:val="20"/>
                <w:lang w:val="en-GB" w:eastAsia="en-GB"/>
                <w14:ligatures w14:val="none"/>
              </w:rPr>
            </w:pPr>
            <w:r w:rsidRPr="008B6BE9">
              <w:rPr>
                <w:rFonts w:ascii="Aptos" w:eastAsia="Times New Roman" w:hAnsi="Aptos" w:cs="Times New Roman"/>
                <w:color w:val="FFFFFF" w:themeColor="background1"/>
                <w:kern w:val="0"/>
                <w:sz w:val="20"/>
                <w:szCs w:val="20"/>
                <w:lang w:val="en-GB" w:eastAsia="en-GB"/>
                <w14:ligatures w14:val="none"/>
              </w:rPr>
              <w:t>Analyse quality of the final output of the reform step</w:t>
            </w:r>
          </w:p>
        </w:tc>
        <w:tc>
          <w:tcPr>
            <w:tcW w:w="6753" w:type="dxa"/>
          </w:tcPr>
          <w:p w14:paraId="0E41881A"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323A54">
              <w:rPr>
                <w:i/>
                <w:iCs/>
                <w:sz w:val="20"/>
                <w:szCs w:val="20"/>
                <w:lang w:val="en-GB"/>
              </w:rPr>
              <w:t xml:space="preserve">To what extent does the final output of this reform step respect the applicable EU membership requirements/principles/standards? </w:t>
            </w:r>
          </w:p>
          <w:p w14:paraId="030F07F8" w14:textId="417B8F45" w:rsidR="006F0041" w:rsidRPr="00323A54" w:rsidRDefault="00027923"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323A54">
              <w:rPr>
                <w:sz w:val="20"/>
                <w:szCs w:val="20"/>
                <w:lang w:val="en-GB"/>
              </w:rPr>
              <w:t xml:space="preserve">Not applicable. </w:t>
            </w:r>
          </w:p>
          <w:p w14:paraId="72B1633F"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1A3963E6" w14:textId="77777777" w:rsidR="006F0041" w:rsidRPr="00323A54" w:rsidRDefault="006F0041" w:rsidP="00314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4EF4905A" w14:textId="77777777" w:rsidR="006F0041" w:rsidRPr="00323A54" w:rsidRDefault="006F0041" w:rsidP="006F0041">
      <w:pPr>
        <w:rPr>
          <w:lang w:val="en-GB"/>
        </w:rPr>
      </w:pPr>
    </w:p>
    <w:p w14:paraId="1752AD21" w14:textId="77777777" w:rsidR="006F0041" w:rsidRPr="00323A54" w:rsidRDefault="006F0041" w:rsidP="006F0041">
      <w:pPr>
        <w:pStyle w:val="Heading1"/>
        <w:numPr>
          <w:ilvl w:val="0"/>
          <w:numId w:val="1"/>
        </w:numPr>
        <w:rPr>
          <w:lang w:val="en-GB"/>
        </w:rPr>
      </w:pPr>
      <w:r w:rsidRPr="00323A54">
        <w:rPr>
          <w:lang w:val="en-GB"/>
        </w:rPr>
        <w:t>Final assessment</w:t>
      </w:r>
    </w:p>
    <w:p w14:paraId="59C89C0F" w14:textId="77777777" w:rsidR="006F0041" w:rsidRPr="00323A54" w:rsidRDefault="006F0041" w:rsidP="006F0041">
      <w:pPr>
        <w:rPr>
          <w:lang w:val="en-GB"/>
        </w:rPr>
      </w:pPr>
    </w:p>
    <w:tbl>
      <w:tblPr>
        <w:tblStyle w:val="GridTable1Light"/>
        <w:tblW w:w="0" w:type="auto"/>
        <w:tblLook w:val="0480" w:firstRow="0" w:lastRow="0" w:firstColumn="1" w:lastColumn="0" w:noHBand="0" w:noVBand="1"/>
      </w:tblPr>
      <w:tblGrid>
        <w:gridCol w:w="2263"/>
        <w:gridCol w:w="6753"/>
      </w:tblGrid>
      <w:tr w:rsidR="006F0041" w:rsidRPr="00323A54" w14:paraId="0471CB3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017D9D3" w14:textId="1313B590" w:rsidR="006F0041" w:rsidRPr="008B6BE9" w:rsidRDefault="006F0041" w:rsidP="00314DB3">
            <w:pPr>
              <w:spacing w:before="60" w:after="60"/>
              <w:rPr>
                <w:color w:val="FFFFFF" w:themeColor="background1"/>
                <w:sz w:val="20"/>
                <w:szCs w:val="20"/>
                <w:lang w:val="en-GB"/>
              </w:rPr>
            </w:pPr>
            <w:r w:rsidRPr="008B6BE9">
              <w:rPr>
                <w:color w:val="FFFFFF" w:themeColor="background1"/>
                <w:sz w:val="20"/>
                <w:szCs w:val="20"/>
                <w:lang w:val="en-GB"/>
              </w:rPr>
              <w:t>Assess formal achievement</w:t>
            </w:r>
          </w:p>
        </w:tc>
        <w:tc>
          <w:tcPr>
            <w:tcW w:w="6753" w:type="dxa"/>
          </w:tcPr>
          <w:p w14:paraId="20B96C05" w14:textId="7E1852D4" w:rsidR="006F0041" w:rsidRPr="008B6BE9" w:rsidRDefault="00C32E12" w:rsidP="00314DB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8B6BE9">
              <w:rPr>
                <w:b/>
                <w:bCs/>
                <w:sz w:val="20"/>
                <w:szCs w:val="20"/>
                <w:lang w:val="en-GB"/>
              </w:rPr>
              <w:t>Not</w:t>
            </w:r>
            <w:r w:rsidR="00027923" w:rsidRPr="008B6BE9">
              <w:rPr>
                <w:b/>
                <w:bCs/>
                <w:sz w:val="20"/>
                <w:szCs w:val="20"/>
                <w:lang w:val="en-GB"/>
              </w:rPr>
              <w:t xml:space="preserve"> achieved. </w:t>
            </w:r>
          </w:p>
        </w:tc>
      </w:tr>
      <w:tr w:rsidR="006F0041" w:rsidRPr="00323A54" w14:paraId="248D102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1C8ED1AF" w14:textId="77777777" w:rsidR="006F0041" w:rsidRPr="008B6BE9" w:rsidRDefault="006F0041" w:rsidP="00314DB3">
            <w:pPr>
              <w:spacing w:before="60" w:after="60"/>
              <w:rPr>
                <w:color w:val="FFFFFF" w:themeColor="background1"/>
                <w:sz w:val="20"/>
                <w:szCs w:val="20"/>
                <w:lang w:val="en-GB"/>
              </w:rPr>
            </w:pPr>
            <w:r w:rsidRPr="008B6BE9">
              <w:rPr>
                <w:color w:val="FFFFFF" w:themeColor="background1"/>
                <w:sz w:val="20"/>
                <w:szCs w:val="20"/>
                <w:lang w:val="en-GB"/>
              </w:rPr>
              <w:t>Elaboration of final assessment</w:t>
            </w:r>
          </w:p>
        </w:tc>
        <w:tc>
          <w:tcPr>
            <w:tcW w:w="6753" w:type="dxa"/>
          </w:tcPr>
          <w:p w14:paraId="73CE9A34"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The Secretariat of the Republic Electoral Commission has not been established as envisaged by the Reform Agenda, and it cannot be established in the manner foreseen therein.</w:t>
            </w:r>
          </w:p>
          <w:p w14:paraId="57FEBDFE" w14:textId="77777777" w:rsidR="00B36D1F" w:rsidRPr="00B36D1F" w:rsidRDefault="00B36D1F" w:rsidP="00B36D1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However, in line with the Reform Agenda, the National Assembly amended the relevant Decision on the Parliamentary Service, and the Secretary-General subsequently adopted a new Act on Systematisation, which provides for the establishment of a new Sector responsible for supporting the REC.</w:t>
            </w:r>
          </w:p>
          <w:p w14:paraId="244FCD8B" w14:textId="3B55A408" w:rsidR="006F0041" w:rsidRPr="008B6BE9" w:rsidRDefault="00B36D1F" w:rsidP="009B598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36D1F">
              <w:rPr>
                <w:sz w:val="20"/>
                <w:szCs w:val="20"/>
                <w:lang w:val="en-GB"/>
              </w:rPr>
              <w:t xml:space="preserve">No information is publicly available regarding whether the Sector has </w:t>
            </w:r>
            <w:proofErr w:type="gramStart"/>
            <w:r w:rsidRPr="00B36D1F">
              <w:rPr>
                <w:sz w:val="20"/>
                <w:szCs w:val="20"/>
                <w:lang w:val="en-GB"/>
              </w:rPr>
              <w:t>actually been</w:t>
            </w:r>
            <w:proofErr w:type="gramEnd"/>
            <w:r w:rsidRPr="00B36D1F">
              <w:rPr>
                <w:sz w:val="20"/>
                <w:szCs w:val="20"/>
                <w:lang w:val="en-GB"/>
              </w:rPr>
              <w:t xml:space="preserve"> established or staffed as planned.</w:t>
            </w:r>
          </w:p>
        </w:tc>
      </w:tr>
    </w:tbl>
    <w:p w14:paraId="52B2A7E0" w14:textId="77777777" w:rsidR="006F0041" w:rsidRPr="00323A54" w:rsidRDefault="006F0041" w:rsidP="006F0041">
      <w:pPr>
        <w:rPr>
          <w:lang w:val="en-GB"/>
        </w:rPr>
      </w:pPr>
    </w:p>
    <w:p w14:paraId="2ADF1D2F" w14:textId="77777777" w:rsidR="006F0041" w:rsidRPr="00323A54" w:rsidRDefault="006F0041" w:rsidP="006F0041">
      <w:pPr>
        <w:rPr>
          <w:lang w:val="en-GB"/>
        </w:rPr>
      </w:pPr>
    </w:p>
    <w:p w14:paraId="4C6F61A0" w14:textId="77777777" w:rsidR="006F0041" w:rsidRPr="00323A54" w:rsidRDefault="006F0041" w:rsidP="006F0041">
      <w:pPr>
        <w:rPr>
          <w:lang w:val="en-GB"/>
        </w:rPr>
      </w:pPr>
    </w:p>
    <w:p w14:paraId="423127B4" w14:textId="77777777" w:rsidR="00FB11D0" w:rsidRPr="00323A54" w:rsidRDefault="00FB11D0">
      <w:pPr>
        <w:rPr>
          <w:lang w:val="en-GB"/>
        </w:rPr>
      </w:pPr>
    </w:p>
    <w:sectPr w:rsidR="00FB11D0" w:rsidRPr="00323A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9B8FF" w14:textId="77777777" w:rsidR="00577B86" w:rsidRDefault="00577B86" w:rsidP="006F0041">
      <w:r>
        <w:separator/>
      </w:r>
    </w:p>
  </w:endnote>
  <w:endnote w:type="continuationSeparator" w:id="0">
    <w:p w14:paraId="2378EE15" w14:textId="77777777" w:rsidR="00577B86" w:rsidRDefault="00577B86" w:rsidP="006F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8B222" w14:textId="77777777" w:rsidR="00577B86" w:rsidRDefault="00577B86" w:rsidP="006F0041">
      <w:r>
        <w:separator/>
      </w:r>
    </w:p>
  </w:footnote>
  <w:footnote w:type="continuationSeparator" w:id="0">
    <w:p w14:paraId="62FF38E8" w14:textId="77777777" w:rsidR="00577B86" w:rsidRDefault="00577B86" w:rsidP="006F0041">
      <w:r>
        <w:continuationSeparator/>
      </w:r>
    </w:p>
  </w:footnote>
  <w:footnote w:id="1">
    <w:p w14:paraId="7F4EC0DF" w14:textId="7DA180CD" w:rsidR="00323A54" w:rsidRDefault="00323A54">
      <w:pPr>
        <w:pStyle w:val="FootnoteText"/>
      </w:pPr>
      <w:r>
        <w:rPr>
          <w:rStyle w:val="FootnoteReference"/>
        </w:rPr>
        <w:footnoteRef/>
      </w:r>
      <w:r>
        <w:t xml:space="preserve"> </w:t>
      </w:r>
      <w:hyperlink r:id="rId1" w:history="1">
        <w:r w:rsidRPr="00C75EDD">
          <w:rPr>
            <w:rStyle w:val="Hyperlink"/>
          </w:rPr>
          <w:t>https://www.parlament.gov.rs/%D0%9E%D1%81%D0%BC%D0%B0_%D1%81%D0%B5%D0%B4%D0%BD%D0%B8%D1%86%D0%B0_%D0%9E%D0%B4%D0%B1%D0%BE%D1%80%D0%B0_%D0%B7%D0%B0_%D0%B0%D0%B4%D0%BC%D0%B8%D0%BD%D0%B8%D1%81%D1%82%D1%80%D0%B0%D1%82%D0%B8%D0%B2%D0%BD%D0%BE-%D0%B1%D1%83%D1%9F%D0%B5%D1%82%D1%81%D0%BA%D0%B0.48956.43.html</w:t>
        </w:r>
      </w:hyperlink>
      <w:r>
        <w:t xml:space="preserve"> </w:t>
      </w:r>
    </w:p>
  </w:footnote>
  <w:footnote w:id="2">
    <w:p w14:paraId="5863A29F" w14:textId="1A59ACA2" w:rsidR="00323A54" w:rsidRDefault="00323A54">
      <w:pPr>
        <w:pStyle w:val="FootnoteText"/>
      </w:pPr>
      <w:r>
        <w:rPr>
          <w:rStyle w:val="FootnoteReference"/>
        </w:rPr>
        <w:footnoteRef/>
      </w:r>
      <w:r>
        <w:t xml:space="preserve"> Ibid.</w:t>
      </w:r>
    </w:p>
  </w:footnote>
  <w:footnote w:id="3">
    <w:p w14:paraId="2CA68A96" w14:textId="560775E2" w:rsidR="00323A54" w:rsidRDefault="00323A54">
      <w:pPr>
        <w:pStyle w:val="FootnoteText"/>
      </w:pPr>
      <w:r>
        <w:rPr>
          <w:rStyle w:val="FootnoteReference"/>
        </w:rPr>
        <w:footnoteRef/>
      </w:r>
      <w:r>
        <w:t xml:space="preserve"> </w:t>
      </w:r>
      <w:hyperlink r:id="rId2" w:history="1">
        <w:r w:rsidRPr="00C75EDD">
          <w:rPr>
            <w:rStyle w:val="Hyperlink"/>
          </w:rPr>
          <w:t>https://www.parlament.gov.rs/%D0%9F%D1%80%D0%B2%D0%BE_%D0%B2%D0%B0%D0%BD%D1%80%D0%B5%D0%B4%D0%BD%D0%BE_%D0%B7%D0%B0%D1%81%D0%B5%D0%B4%D0%B0%D1%9A%D0%B5_%D0%9D%D0%B0%D1%80%D0%BE%D0%B4%D0%BD%D0%B5.49407.43.html</w:t>
        </w:r>
      </w:hyperlink>
      <w:r>
        <w:t xml:space="preserve"> </w:t>
      </w:r>
    </w:p>
  </w:footnote>
  <w:footnote w:id="4">
    <w:p w14:paraId="43445F13" w14:textId="6F6B4041" w:rsidR="00323A54" w:rsidRDefault="00323A54">
      <w:pPr>
        <w:pStyle w:val="FootnoteText"/>
      </w:pPr>
      <w:r>
        <w:rPr>
          <w:rStyle w:val="FootnoteReference"/>
        </w:rPr>
        <w:footnoteRef/>
      </w:r>
      <w:r>
        <w:t xml:space="preserve"> </w:t>
      </w:r>
      <w:hyperlink r:id="rId3" w:history="1">
        <w:r w:rsidRPr="00C75EDD">
          <w:rPr>
            <w:rStyle w:val="Hyperlink"/>
          </w:rPr>
          <w:t>https://www.parlament.gov.rs/upload/documents/activities/23.05.2018.%20ODLUKA.pdf</w:t>
        </w:r>
      </w:hyperlink>
      <w:r>
        <w:t xml:space="preserve"> </w:t>
      </w:r>
    </w:p>
  </w:footnote>
  <w:footnote w:id="5">
    <w:p w14:paraId="3AC15A62" w14:textId="3F393B68" w:rsidR="00323A54" w:rsidRDefault="00323A54">
      <w:pPr>
        <w:pStyle w:val="FootnoteText"/>
      </w:pPr>
      <w:r>
        <w:rPr>
          <w:rStyle w:val="FootnoteReference"/>
        </w:rPr>
        <w:footnoteRef/>
      </w:r>
      <w:r>
        <w:t xml:space="preserve"> </w:t>
      </w:r>
      <w:hyperlink r:id="rId4" w:history="1">
        <w:r w:rsidRPr="00C75EDD">
          <w:rPr>
            <w:rStyle w:val="Hyperlink"/>
          </w:rPr>
          <w:t>https://www.parlament.gov.rs/%D0%B0%D0%BA%D1%82%D0%B8%D0%B2%D0%BD%D0%BE%D1%81%D1%82%D0%B8/%D0%B8%D0%BD%D1%84%D0%BE%D1%80%D0%BC%D0%B0%D1%82%D0%BE%D1%80/%D0%BB%D0%B8%D1%86%D0%B5-%D0%BE%D0%B4%D1%80%D0%B5%D1%92%D0%B5%D0%BD%D0%BE-%D0%B7%D0%B0-%D0%B7%D0%B0%D1%88%D1%82%D0%B8%D1%82%D1%83-%D0%BF%D0%BE%D0%B4%D0%B0%D1%82%D0%B0%D0%BA%D0%B0-%D0%BE-%D0%BB%D0%B8%D1%87%D0%BD%D0%BE%D1%81%D1%82%D0%B8-%D1%83-%D0%BD%D0%B0%D1%80%D0%BE%D0%B4%D0%BD%D0%BE%D1%98-%D1%81%D0%BA%D1%83%D0%BF%D1%88%D1%82%D0%B8%D0%BD%D0%B8.110.html</w:t>
        </w:r>
      </w:hyperlink>
      <w:r>
        <w:t xml:space="preserve"> </w:t>
      </w:r>
    </w:p>
  </w:footnote>
  <w:footnote w:id="6">
    <w:p w14:paraId="16AAC8DA" w14:textId="22D80964" w:rsidR="00323A54" w:rsidRDefault="00323A54">
      <w:pPr>
        <w:pStyle w:val="FootnoteText"/>
      </w:pPr>
      <w:r>
        <w:rPr>
          <w:rStyle w:val="FootnoteReference"/>
        </w:rPr>
        <w:footnoteRef/>
      </w:r>
      <w:r>
        <w:t xml:space="preserve"> </w:t>
      </w:r>
      <w:hyperlink r:id="rId5" w:history="1">
        <w:r w:rsidR="00B36D1F" w:rsidRPr="00C75EDD">
          <w:rPr>
            <w:rStyle w:val="Hyperlink"/>
          </w:rPr>
          <w:t>https://www.parlament.gov.rs/%D0%BD%D0%B0%D1%80%D0%BE%D0%B4%D0%BD%D0%B0-%D1%81%D0%BA%D1%83%D0%BF%D1%88%D1%82%D0%B8%D0%BD%D0%B0/%D1%81%D0%B0%D1%81%D1%82%D0%B0%D0%B2/%D0%B3%D0%B5%D0%BD%D0%B5%D1%80%D0%B0%D0%BB%D0%BD%D0%B8-%D1%81%D0%B5%D0%BA%D1%80%D0%B5%D1%82%D0%B0%D1%80/%D0%B3%D0%B5%D0%BD%D0%B5%D1%80%D0%B0%D0%BB%D0%BD%D0%B8-%D1%81%D0%B5%D0%BA%D1%80%D0%B5%D1%82%D0%B0%D1%80-.2439.html</w:t>
        </w:r>
      </w:hyperlink>
      <w:r w:rsidR="00B36D1F">
        <w:t xml:space="preserve"> </w:t>
      </w:r>
    </w:p>
  </w:footnote>
  <w:footnote w:id="7">
    <w:p w14:paraId="242A3579" w14:textId="3D8874E7" w:rsidR="00B36D1F" w:rsidRDefault="00B36D1F">
      <w:pPr>
        <w:pStyle w:val="FootnoteText"/>
      </w:pPr>
      <w:r>
        <w:rPr>
          <w:rStyle w:val="FootnoteReference"/>
        </w:rPr>
        <w:footnoteRef/>
      </w:r>
      <w:r>
        <w:t xml:space="preserve"> </w:t>
      </w:r>
      <w:hyperlink r:id="rId6" w:history="1">
        <w:r w:rsidRPr="00C75EDD">
          <w:rPr>
            <w:rStyle w:val="Hyperlink"/>
          </w:rPr>
          <w:t>https://www.rik.parlament.gov.rs/tekst/3/organizaciona-struktura-.php</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E42EBB"/>
    <w:multiLevelType w:val="hybridMultilevel"/>
    <w:tmpl w:val="6AD850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47454F"/>
    <w:multiLevelType w:val="hybridMultilevel"/>
    <w:tmpl w:val="6AD850C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E30214"/>
    <w:multiLevelType w:val="hybridMultilevel"/>
    <w:tmpl w:val="3D1CB0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802E01"/>
    <w:multiLevelType w:val="multilevel"/>
    <w:tmpl w:val="1CBA7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E844C4"/>
    <w:multiLevelType w:val="hybridMultilevel"/>
    <w:tmpl w:val="D958943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209074005">
    <w:abstractNumId w:val="0"/>
  </w:num>
  <w:num w:numId="2" w16cid:durableId="1811746263">
    <w:abstractNumId w:val="1"/>
  </w:num>
  <w:num w:numId="3" w16cid:durableId="732585498">
    <w:abstractNumId w:val="4"/>
  </w:num>
  <w:num w:numId="4" w16cid:durableId="581060633">
    <w:abstractNumId w:val="5"/>
  </w:num>
  <w:num w:numId="5" w16cid:durableId="663627422">
    <w:abstractNumId w:val="3"/>
  </w:num>
  <w:num w:numId="6" w16cid:durableId="1719545678">
    <w:abstractNumId w:val="2"/>
  </w:num>
  <w:num w:numId="7" w16cid:durableId="1762289576">
    <w:abstractNumId w:val="7"/>
  </w:num>
  <w:num w:numId="8" w16cid:durableId="624431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041"/>
    <w:rsid w:val="00014787"/>
    <w:rsid w:val="00027923"/>
    <w:rsid w:val="000E1DB7"/>
    <w:rsid w:val="000F688C"/>
    <w:rsid w:val="001104DD"/>
    <w:rsid w:val="001329EB"/>
    <w:rsid w:val="001A17A3"/>
    <w:rsid w:val="001A676C"/>
    <w:rsid w:val="001C7EFD"/>
    <w:rsid w:val="0020490E"/>
    <w:rsid w:val="002A1DAB"/>
    <w:rsid w:val="002E53F0"/>
    <w:rsid w:val="00323A54"/>
    <w:rsid w:val="00367C54"/>
    <w:rsid w:val="00376A04"/>
    <w:rsid w:val="00386370"/>
    <w:rsid w:val="003A72CC"/>
    <w:rsid w:val="00406720"/>
    <w:rsid w:val="00422BFB"/>
    <w:rsid w:val="004239EC"/>
    <w:rsid w:val="004332F5"/>
    <w:rsid w:val="00442E42"/>
    <w:rsid w:val="00575964"/>
    <w:rsid w:val="00577B86"/>
    <w:rsid w:val="005A2BF5"/>
    <w:rsid w:val="005E1379"/>
    <w:rsid w:val="006075F7"/>
    <w:rsid w:val="00610583"/>
    <w:rsid w:val="0063218D"/>
    <w:rsid w:val="00651613"/>
    <w:rsid w:val="00664947"/>
    <w:rsid w:val="006723BF"/>
    <w:rsid w:val="006E780A"/>
    <w:rsid w:val="006F0041"/>
    <w:rsid w:val="00777EE1"/>
    <w:rsid w:val="007D4B43"/>
    <w:rsid w:val="00890D34"/>
    <w:rsid w:val="008B300A"/>
    <w:rsid w:val="008B6BE9"/>
    <w:rsid w:val="00900CE6"/>
    <w:rsid w:val="0095387A"/>
    <w:rsid w:val="00955328"/>
    <w:rsid w:val="009A5356"/>
    <w:rsid w:val="009B5987"/>
    <w:rsid w:val="00A170DB"/>
    <w:rsid w:val="00A322EE"/>
    <w:rsid w:val="00A52461"/>
    <w:rsid w:val="00B36D1F"/>
    <w:rsid w:val="00BC2F2C"/>
    <w:rsid w:val="00BF6835"/>
    <w:rsid w:val="00C32E12"/>
    <w:rsid w:val="00C56E3A"/>
    <w:rsid w:val="00C6564F"/>
    <w:rsid w:val="00C83EDF"/>
    <w:rsid w:val="00C90450"/>
    <w:rsid w:val="00D50C70"/>
    <w:rsid w:val="00D532F3"/>
    <w:rsid w:val="00D6392C"/>
    <w:rsid w:val="00DD1510"/>
    <w:rsid w:val="00DE4E0E"/>
    <w:rsid w:val="00E14255"/>
    <w:rsid w:val="00E73F67"/>
    <w:rsid w:val="00ED0279"/>
    <w:rsid w:val="00F11400"/>
    <w:rsid w:val="00FB11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0ED8"/>
  <w15:chartTrackingRefBased/>
  <w15:docId w15:val="{77EEE469-D927-4326-937E-A296656E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041"/>
    <w:pPr>
      <w:spacing w:after="0" w:line="240" w:lineRule="auto"/>
    </w:pPr>
    <w:rPr>
      <w:sz w:val="24"/>
      <w:szCs w:val="24"/>
      <w:lang w:val="en-US"/>
    </w:rPr>
  </w:style>
  <w:style w:type="paragraph" w:styleId="Heading1">
    <w:name w:val="heading 1"/>
    <w:basedOn w:val="Normal"/>
    <w:next w:val="Normal"/>
    <w:link w:val="Heading1Char"/>
    <w:uiPriority w:val="9"/>
    <w:qFormat/>
    <w:rsid w:val="006F00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00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00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00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00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00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00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00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00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0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00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00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00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00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00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00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00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0041"/>
    <w:rPr>
      <w:rFonts w:eastAsiaTheme="majorEastAsia" w:cstheme="majorBidi"/>
      <w:color w:val="272727" w:themeColor="text1" w:themeTint="D8"/>
    </w:rPr>
  </w:style>
  <w:style w:type="paragraph" w:styleId="Title">
    <w:name w:val="Title"/>
    <w:basedOn w:val="Normal"/>
    <w:next w:val="Normal"/>
    <w:link w:val="TitleChar"/>
    <w:uiPriority w:val="10"/>
    <w:qFormat/>
    <w:rsid w:val="006F00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00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00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00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0041"/>
    <w:pPr>
      <w:spacing w:before="160"/>
      <w:jc w:val="center"/>
    </w:pPr>
    <w:rPr>
      <w:i/>
      <w:iCs/>
      <w:color w:val="404040" w:themeColor="text1" w:themeTint="BF"/>
    </w:rPr>
  </w:style>
  <w:style w:type="character" w:customStyle="1" w:styleId="QuoteChar">
    <w:name w:val="Quote Char"/>
    <w:basedOn w:val="DefaultParagraphFont"/>
    <w:link w:val="Quote"/>
    <w:uiPriority w:val="29"/>
    <w:rsid w:val="006F0041"/>
    <w:rPr>
      <w:i/>
      <w:iCs/>
      <w:color w:val="404040" w:themeColor="text1" w:themeTint="BF"/>
    </w:rPr>
  </w:style>
  <w:style w:type="paragraph" w:styleId="ListParagraph">
    <w:name w:val="List Paragraph"/>
    <w:basedOn w:val="Normal"/>
    <w:uiPriority w:val="34"/>
    <w:qFormat/>
    <w:rsid w:val="006F0041"/>
    <w:pPr>
      <w:ind w:left="720"/>
      <w:contextualSpacing/>
    </w:pPr>
  </w:style>
  <w:style w:type="character" w:styleId="IntenseEmphasis">
    <w:name w:val="Intense Emphasis"/>
    <w:basedOn w:val="DefaultParagraphFont"/>
    <w:uiPriority w:val="21"/>
    <w:qFormat/>
    <w:rsid w:val="006F0041"/>
    <w:rPr>
      <w:i/>
      <w:iCs/>
      <w:color w:val="2F5496" w:themeColor="accent1" w:themeShade="BF"/>
    </w:rPr>
  </w:style>
  <w:style w:type="paragraph" w:styleId="IntenseQuote">
    <w:name w:val="Intense Quote"/>
    <w:basedOn w:val="Normal"/>
    <w:next w:val="Normal"/>
    <w:link w:val="IntenseQuoteChar"/>
    <w:uiPriority w:val="30"/>
    <w:qFormat/>
    <w:rsid w:val="006F00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0041"/>
    <w:rPr>
      <w:i/>
      <w:iCs/>
      <w:color w:val="2F5496" w:themeColor="accent1" w:themeShade="BF"/>
    </w:rPr>
  </w:style>
  <w:style w:type="character" w:styleId="IntenseReference">
    <w:name w:val="Intense Reference"/>
    <w:basedOn w:val="DefaultParagraphFont"/>
    <w:uiPriority w:val="32"/>
    <w:qFormat/>
    <w:rsid w:val="006F0041"/>
    <w:rPr>
      <w:b/>
      <w:bCs/>
      <w:smallCaps/>
      <w:color w:val="2F5496" w:themeColor="accent1" w:themeShade="BF"/>
      <w:spacing w:val="5"/>
    </w:rPr>
  </w:style>
  <w:style w:type="table" w:styleId="GridTable1Light">
    <w:name w:val="Grid Table 1 Light"/>
    <w:basedOn w:val="TableNormal"/>
    <w:uiPriority w:val="46"/>
    <w:rsid w:val="006F0041"/>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6F0041"/>
    <w:rPr>
      <w:sz w:val="20"/>
      <w:szCs w:val="20"/>
    </w:rPr>
  </w:style>
  <w:style w:type="character" w:customStyle="1" w:styleId="FootnoteTextChar">
    <w:name w:val="Footnote Text Char"/>
    <w:basedOn w:val="DefaultParagraphFont"/>
    <w:link w:val="FootnoteText"/>
    <w:uiPriority w:val="99"/>
    <w:semiHidden/>
    <w:rsid w:val="006F0041"/>
    <w:rPr>
      <w:sz w:val="20"/>
      <w:szCs w:val="20"/>
      <w:lang w:val="en-US"/>
    </w:rPr>
  </w:style>
  <w:style w:type="character" w:styleId="FootnoteReference">
    <w:name w:val="footnote reference"/>
    <w:basedOn w:val="DefaultParagraphFont"/>
    <w:uiPriority w:val="99"/>
    <w:semiHidden/>
    <w:unhideWhenUsed/>
    <w:rsid w:val="006F0041"/>
    <w:rPr>
      <w:vertAlign w:val="superscript"/>
    </w:rPr>
  </w:style>
  <w:style w:type="character" w:styleId="Hyperlink">
    <w:name w:val="Hyperlink"/>
    <w:basedOn w:val="DefaultParagraphFont"/>
    <w:uiPriority w:val="99"/>
    <w:unhideWhenUsed/>
    <w:rsid w:val="007D4B43"/>
    <w:rPr>
      <w:color w:val="0563C1" w:themeColor="hyperlink"/>
      <w:u w:val="single"/>
    </w:rPr>
  </w:style>
  <w:style w:type="character" w:styleId="UnresolvedMention">
    <w:name w:val="Unresolved Mention"/>
    <w:basedOn w:val="DefaultParagraphFont"/>
    <w:uiPriority w:val="99"/>
    <w:semiHidden/>
    <w:unhideWhenUsed/>
    <w:rsid w:val="007D4B43"/>
    <w:rPr>
      <w:color w:val="605E5C"/>
      <w:shd w:val="clear" w:color="auto" w:fill="E1DFDD"/>
    </w:rPr>
  </w:style>
  <w:style w:type="paragraph" w:styleId="NormalWeb">
    <w:name w:val="Normal (Web)"/>
    <w:basedOn w:val="Normal"/>
    <w:uiPriority w:val="99"/>
    <w:semiHidden/>
    <w:unhideWhenUsed/>
    <w:rsid w:val="0061058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ament.gov.rs/upload/archive/files/cir/pdf/ostala_akta/14_saziv/RS34-2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arlament.gov.rs/upload/documents/dokumenta/PRAVILNIK-sistematizacija%20sajt%2012_2024%20lat.do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arlament.gov.rs/upload/documents/activities/23.05.2018.%20ODLUKA.pdf" TargetMode="External"/><Relationship Id="rId2" Type="http://schemas.openxmlformats.org/officeDocument/2006/relationships/hyperlink" Target="https://www.parlament.gov.rs/%D0%9F%D1%80%D0%B2%D0%BE_%D0%B2%D0%B0%D0%BD%D1%80%D0%B5%D0%B4%D0%BD%D0%BE_%D0%B7%D0%B0%D1%81%D0%B5%D0%B4%D0%B0%D1%9A%D0%B5_%D0%9D%D0%B0%D1%80%D0%BE%D0%B4%D0%BD%D0%B5.49407.43.html" TargetMode="External"/><Relationship Id="rId1" Type="http://schemas.openxmlformats.org/officeDocument/2006/relationships/hyperlink" Target="https://www.parlament.gov.rs/%D0%9E%D1%81%D0%BC%D0%B0_%D1%81%D0%B5%D0%B4%D0%BD%D0%B8%D1%86%D0%B0_%D0%9E%D0%B4%D0%B1%D0%BE%D1%80%D0%B0_%D0%B7%D0%B0_%D0%B0%D0%B4%D0%BC%D0%B8%D0%BD%D0%B8%D1%81%D1%82%D1%80%D0%B0%D1%82%D0%B8%D0%B2%D0%BD%D0%BE-%D0%B1%D1%83%D1%9F%D0%B5%D1%82%D1%81%D0%BA%D0%B0.48956.43.html" TargetMode="External"/><Relationship Id="rId6" Type="http://schemas.openxmlformats.org/officeDocument/2006/relationships/hyperlink" Target="https://www.rik.parlament.gov.rs/tekst/3/organizaciona-struktura-.php" TargetMode="External"/><Relationship Id="rId5" Type="http://schemas.openxmlformats.org/officeDocument/2006/relationships/hyperlink" Target="https://www.parlament.gov.rs/%D0%BD%D0%B0%D1%80%D0%BE%D0%B4%D0%BD%D0%B0-%D1%81%D0%BA%D1%83%D0%BF%D1%88%D1%82%D0%B8%D0%BD%D0%B0/%D1%81%D0%B0%D1%81%D1%82%D0%B0%D0%B2/%D0%B3%D0%B5%D0%BD%D0%B5%D1%80%D0%B0%D0%BB%D0%BD%D0%B8-%D1%81%D0%B5%D0%BA%D1%80%D0%B5%D1%82%D0%B0%D1%80/%D0%B3%D0%B5%D0%BD%D0%B5%D1%80%D0%B0%D0%BB%D0%BD%D0%B8-%D1%81%D0%B5%D0%BA%D1%80%D0%B5%D1%82%D0%B0%D1%80-.2439.html" TargetMode="External"/><Relationship Id="rId4" Type="http://schemas.openxmlformats.org/officeDocument/2006/relationships/hyperlink" Target="https://www.parlament.gov.rs/%D0%B0%D0%BA%D1%82%D0%B8%D0%B2%D0%BD%D0%BE%D1%81%D1%82%D0%B8/%D0%B8%D0%BD%D1%84%D0%BE%D1%80%D0%BC%D0%B0%D1%82%D0%BE%D1%80/%D0%BB%D0%B8%D1%86%D0%B5-%D0%BE%D0%B4%D1%80%D0%B5%D1%92%D0%B5%D0%BD%D0%BE-%D0%B7%D0%B0-%D0%B7%D0%B0%D1%88%D1%82%D0%B8%D1%82%D1%83-%D0%BF%D0%BE%D0%B4%D0%B0%D1%82%D0%B0%D0%BA%D0%B0-%D0%BE-%D0%BB%D0%B8%D1%87%D0%BD%D0%BE%D1%81%D1%82%D0%B8-%D1%83-%D0%BD%D0%B0%D1%80%D0%BE%D0%B4%D0%BD%D0%BE%D1%98-%D1%81%D0%BA%D1%83%D0%BF%D1%88%D1%82%D0%B8%D0%BD%D0%B8.11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E4CC-A366-4992-972C-581B2C2A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5</Pages>
  <Words>1534</Words>
  <Characters>9039</Characters>
  <Application>Microsoft Office Word</Application>
  <DocSecurity>0</DocSecurity>
  <Lines>215</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8</cp:revision>
  <dcterms:created xsi:type="dcterms:W3CDTF">2026-03-31T04:53:00Z</dcterms:created>
  <dcterms:modified xsi:type="dcterms:W3CDTF">2026-04-24T18:45:00Z</dcterms:modified>
</cp:coreProperties>
</file>